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CE" w:rsidRDefault="00F03ACE" w:rsidP="00FD3FF4">
      <w:pPr>
        <w:rPr>
          <w:rFonts w:ascii="Arial" w:hAnsi="Arial" w:cs="Arial"/>
          <w:sz w:val="24"/>
          <w:szCs w:val="24"/>
        </w:rPr>
      </w:pPr>
    </w:p>
    <w:p w:rsidR="003724EE" w:rsidRPr="000F78EB" w:rsidRDefault="00A776CF" w:rsidP="003724E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50" w:rsidRPr="00815FBF" w:rsidRDefault="00A776CF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2E2A50" w:rsidRPr="000218DA" w:rsidRDefault="000218DA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2E2A50" w:rsidRDefault="002E2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SjKwIAAFEEAAAOAAAAZHJzL2Uyb0RvYy54bWysVNtu2zAMfR+wfxD0vjh24zUx4hRdugwD&#10;ugvQ7gNkWbaFyaImKbGzry8lp1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">
                <v:textbox>
                  <w:txbxContent>
                    <w:p w:rsidR="002E2A50" w:rsidRPr="00815FBF" w:rsidRDefault="00A776CF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2E2A50" w:rsidRPr="000218DA" w:rsidRDefault="000218DA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2E2A50" w:rsidRDefault="002E2A50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E43C3D" w:rsidRPr="00E43C3D" w:rsidRDefault="00E43C3D" w:rsidP="00E43C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E43C3D" w:rsidRPr="00815FBF" w:rsidRDefault="00E43C3D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DE6F89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Curso</w:t>
      </w:r>
      <w:r w:rsidRPr="00DE6F89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: </w:t>
      </w:r>
      <w:r w:rsidR="00DE6F89" w:rsidRPr="00DE6F89">
        <w:rPr>
          <w:rFonts w:ascii="Arial" w:hAnsi="Arial" w:cs="Arial"/>
          <w:sz w:val="24"/>
          <w:szCs w:val="24"/>
        </w:rPr>
        <w:t>Técnico em Plásticos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 w:rsidR="00DE6F89" w:rsidRPr="00DE6F89">
        <w:rPr>
          <w:rFonts w:hAnsi="Arial" w:cs="Arial"/>
        </w:rPr>
        <w:t xml:space="preserve"> </w:t>
      </w:r>
      <w:r w:rsidR="00DE6F89" w:rsidRPr="00DE6F89">
        <w:rPr>
          <w:rFonts w:ascii="Arial" w:hAnsi="Arial" w:cs="Arial"/>
        </w:rPr>
        <w:t>Geografia</w:t>
      </w:r>
      <w:r w:rsidRPr="00DE6F89">
        <w:rPr>
          <w:rFonts w:ascii="Arial" w:hAnsi="Arial" w:cs="Arial"/>
          <w:b/>
          <w:snapToGrid w:val="0"/>
          <w:lang w:eastAsia="pt-BR"/>
        </w:rPr>
        <w:t xml:space="preserve">     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DE6F89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DE6F89" w:rsidRPr="00DE6F89">
        <w:rPr>
          <w:rFonts w:ascii="Arial" w:hAnsi="Arial" w:cs="Arial"/>
          <w:snapToGrid w:val="0"/>
          <w:lang w:val="pt-BR" w:eastAsia="pt-BR"/>
        </w:rPr>
        <w:t>2P</w:t>
      </w:r>
      <w:r w:rsidR="007D2F14">
        <w:rPr>
          <w:rFonts w:ascii="Arial" w:hAnsi="Arial" w:cs="Arial"/>
          <w:snapToGrid w:val="0"/>
          <w:lang w:val="pt-BR" w:eastAsia="pt-BR"/>
        </w:rPr>
        <w:t>/2T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 w:rsidR="00DE6F89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DE6F89" w:rsidRPr="00DE6F89">
        <w:rPr>
          <w:rFonts w:ascii="Arial" w:hAnsi="Arial" w:cs="Arial"/>
          <w:snapToGrid w:val="0"/>
          <w:lang w:val="pt-BR" w:eastAsia="pt-BR"/>
        </w:rPr>
        <w:t>Fernando Mousquer</w:t>
      </w:r>
    </w:p>
    <w:p w:rsidR="002E2A50" w:rsidRPr="00DE6F89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60 h</w:t>
      </w:r>
      <w:r w:rsidR="00DE6F89">
        <w:rPr>
          <w:rFonts w:ascii="Arial" w:hAnsi="Arial" w:cs="Arial"/>
          <w:snapToGrid w:val="0"/>
          <w:sz w:val="24"/>
          <w:szCs w:val="24"/>
          <w:lang w:eastAsia="pt-BR"/>
        </w:rPr>
        <w:t>oras</w:t>
      </w:r>
    </w:p>
    <w:p w:rsidR="005E3EC5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7D2F14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/1</w:t>
      </w:r>
    </w:p>
    <w:p w:rsidR="00241F58" w:rsidRPr="005E3EC5" w:rsidRDefault="00241F58" w:rsidP="00241F5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E43C3D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E43C3D">
        <w:rPr>
          <w:rFonts w:ascii="Arial" w:hAnsi="Arial" w:cs="Arial"/>
          <w:b/>
          <w:snapToGrid w:val="0"/>
          <w:lang w:eastAsia="pt-BR"/>
        </w:rPr>
        <w:t>:</w:t>
      </w:r>
      <w:r w:rsidRPr="00241F58">
        <w:rPr>
          <w:rFonts w:ascii="Arial" w:hAnsi="Arial" w:cs="Arial"/>
          <w:b/>
          <w:snapToGrid w:val="0"/>
          <w:lang w:val="en-US" w:eastAsia="pt-BR"/>
        </w:rPr>
        <w:t xml:space="preserve"> </w:t>
      </w:r>
      <w:r w:rsidRPr="00241F58">
        <w:rPr>
          <w:rFonts w:ascii="Arial" w:hAnsi="Arial" w:cs="Arial"/>
          <w:snapToGrid w:val="0"/>
          <w:lang w:val="en-US" w:eastAsia="pt-BR"/>
        </w:rPr>
        <w:t>fernandomousquer@sapucaia.ifsul.edu.br</w:t>
      </w:r>
      <w:r w:rsidRPr="00E43C3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</w:t>
      </w:r>
    </w:p>
    <w:p w:rsidR="00241F58" w:rsidRPr="00241F58" w:rsidRDefault="00241F58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x-none" w:eastAsia="pt-BR"/>
        </w:rPr>
      </w:pPr>
    </w:p>
    <w:p w:rsidR="002E2A50" w:rsidRPr="00241F58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DF2159" w:rsidRDefault="002E2A50" w:rsidP="00C518C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C51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518C7" w:rsidRPr="00C518C7" w:rsidRDefault="00C518C7" w:rsidP="00C518C7">
            <w:pPr>
              <w:pStyle w:val="Corpodetexto"/>
              <w:rPr>
                <w:rFonts w:ascii="Arial" w:eastAsia="Arial Bold" w:hAnsi="Arial" w:cs="Arial"/>
                <w:sz w:val="24"/>
                <w:szCs w:val="24"/>
              </w:rPr>
            </w:pPr>
            <w:r w:rsidRPr="00C518C7">
              <w:rPr>
                <w:rFonts w:ascii="Arial" w:hAnsi="Arial" w:cs="Arial"/>
                <w:sz w:val="24"/>
                <w:szCs w:val="24"/>
              </w:rPr>
              <w:t>Organização do espaço do Rio Grande do Sul e do Brasil.</w:t>
            </w:r>
          </w:p>
          <w:p w:rsidR="002E2A50" w:rsidRPr="00815FBF" w:rsidRDefault="00C518C7" w:rsidP="00C518C7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518C7">
              <w:rPr>
                <w:rFonts w:ascii="Arial" w:hAnsi="Arial" w:cs="Arial"/>
                <w:sz w:val="24"/>
                <w:szCs w:val="24"/>
              </w:rPr>
              <w:t xml:space="preserve">Identificar e analisar os processos de formação territorial do Rio Grande do Sul e do Brasil. Aplicar os conhecimentos do conjunto das disciplinas de ciências humanas, da natureza e exatas na construção de novos conhecimentos nas diferentes escalas abordadas. Comparar os distintos processos regionais de formação territorial do Brasil. Analisar e debater alternativas de desenvolvimento para as diferenças regionais. Distinguir, discriminar e investigar sobre a organização territorial e suas dinâmicas no território brasileiro nas escalas nacional, regional e local.  Aplicar técnicas de representação espacial (linguagem cartográfica) para evidenciar a realidade </w:t>
            </w:r>
            <w:proofErr w:type="spellStart"/>
            <w:r w:rsidRPr="00C518C7">
              <w:rPr>
                <w:rFonts w:ascii="Arial" w:hAnsi="Arial" w:cs="Arial"/>
                <w:sz w:val="24"/>
                <w:szCs w:val="24"/>
              </w:rPr>
              <w:t>sócio-espacial</w:t>
            </w:r>
            <w:proofErr w:type="spellEnd"/>
            <w:r w:rsidRPr="00C518C7">
              <w:rPr>
                <w:rFonts w:ascii="Arial" w:hAnsi="Arial" w:cs="Arial"/>
                <w:sz w:val="24"/>
                <w:szCs w:val="24"/>
              </w:rPr>
              <w:t>. Discutir analiticamente sobre o meio ambiente no contexto contemporâneo.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546469" w:rsidRPr="00546469" w:rsidRDefault="002E2A50" w:rsidP="0008685D">
            <w:pPr>
              <w:pStyle w:val="Cabealh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spacing w:before="240" w:after="240"/>
              <w:jc w:val="both"/>
              <w:rPr>
                <w:rFonts w:eastAsia="Arial Bold" w:hAnsi="Arial" w:cs="Arial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546469" w:rsidRPr="00567AD5">
              <w:rPr>
                <w:rFonts w:hAnsi="Arial" w:cs="Arial"/>
              </w:rPr>
              <w:t xml:space="preserve"> </w:t>
            </w:r>
          </w:p>
          <w:p w:rsidR="00546469" w:rsidRPr="00546469" w:rsidRDefault="00546469" w:rsidP="00546469">
            <w:pPr>
              <w:pStyle w:val="Cabealh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ind w:left="0" w:firstLine="0"/>
              <w:jc w:val="both"/>
              <w:rPr>
                <w:rFonts w:ascii="Arial" w:eastAsia="Arial Bold" w:hAnsi="Arial" w:cs="Arial"/>
                <w:sz w:val="24"/>
                <w:szCs w:val="24"/>
              </w:rPr>
            </w:pPr>
            <w:r w:rsidRPr="00546469">
              <w:rPr>
                <w:rFonts w:ascii="Arial" w:hAnsi="Arial" w:cs="Arial"/>
                <w:sz w:val="24"/>
                <w:szCs w:val="24"/>
              </w:rPr>
              <w:t>Identificar as diferentes escalas geográficas de análise (local, regional, nacional e global) e suas correlações com o espaço geográfico (sistema de objetos e ações).</w:t>
            </w:r>
          </w:p>
          <w:p w:rsidR="00546469" w:rsidRPr="00546469" w:rsidRDefault="00546469" w:rsidP="00546469">
            <w:pPr>
              <w:pStyle w:val="Cabealh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ind w:left="0" w:firstLine="0"/>
              <w:jc w:val="both"/>
              <w:rPr>
                <w:rFonts w:ascii="Arial" w:eastAsia="Arial Bold" w:hAnsi="Arial" w:cs="Arial"/>
                <w:sz w:val="24"/>
                <w:szCs w:val="24"/>
              </w:rPr>
            </w:pPr>
            <w:r w:rsidRPr="00546469">
              <w:rPr>
                <w:rFonts w:ascii="Arial" w:hAnsi="Arial" w:cs="Arial"/>
                <w:sz w:val="24"/>
                <w:szCs w:val="24"/>
              </w:rPr>
              <w:t>Analisar as diferentes formas de ocupação do espaço e os conflitos oriundos destas ações.</w:t>
            </w:r>
          </w:p>
          <w:p w:rsidR="00546469" w:rsidRPr="00546469" w:rsidRDefault="004B37D7" w:rsidP="004B37D7">
            <w:pPr>
              <w:pStyle w:val="Corpodetexto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rPr>
                <w:rFonts w:ascii="Arial" w:eastAsia="Arial Bold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-  </w:t>
            </w:r>
            <w:r w:rsidR="00546469" w:rsidRPr="00546469">
              <w:rPr>
                <w:rFonts w:ascii="Arial" w:hAnsi="Arial" w:cs="Arial"/>
                <w:sz w:val="24"/>
                <w:szCs w:val="24"/>
              </w:rPr>
              <w:t>Compreender a distribuição espacial das atividades do setor d</w:t>
            </w:r>
            <w:r w:rsidR="00730C1B">
              <w:rPr>
                <w:rFonts w:ascii="Arial" w:hAnsi="Arial" w:cs="Arial"/>
                <w:sz w:val="24"/>
                <w:szCs w:val="24"/>
                <w:lang w:val="pt-BR"/>
              </w:rPr>
              <w:t>o Plástico</w:t>
            </w:r>
            <w:r w:rsidR="00546469" w:rsidRPr="00546469">
              <w:rPr>
                <w:rFonts w:ascii="Arial" w:hAnsi="Arial" w:cs="Arial"/>
                <w:sz w:val="24"/>
                <w:szCs w:val="24"/>
              </w:rPr>
              <w:t xml:space="preserve"> e sua relação com o mundo do trabalho. </w:t>
            </w:r>
          </w:p>
          <w:p w:rsidR="002E2A50" w:rsidRPr="00815FBF" w:rsidRDefault="00546469" w:rsidP="009D6CAE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DF2159" w:rsidRDefault="002E2A50" w:rsidP="00DF2159">
            <w:pPr>
              <w:pStyle w:val="Cabealho"/>
              <w:tabs>
                <w:tab w:val="clear" w:pos="8504"/>
                <w:tab w:val="right" w:pos="8478"/>
              </w:tabs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  <w:r w:rsidR="00DF2159">
              <w:t xml:space="preserve"> </w:t>
            </w:r>
          </w:p>
          <w:p w:rsid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I – Espaço é poder: do corpo aos continentes, possibilidades de escalas para conhecer e analisar o espaço: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1.1 A formação do Vale dos Sinos: tramas </w:t>
            </w:r>
            <w:proofErr w:type="spellStart"/>
            <w:r w:rsidRPr="00DF2159">
              <w:rPr>
                <w:rFonts w:ascii="Arial" w:hAnsi="Arial" w:cs="Arial"/>
                <w:sz w:val="24"/>
                <w:szCs w:val="24"/>
              </w:rPr>
              <w:t>socio-espaciais</w:t>
            </w:r>
            <w:proofErr w:type="spellEnd"/>
            <w:r w:rsidRPr="00DF2159">
              <w:rPr>
                <w:rFonts w:ascii="Arial" w:hAnsi="Arial" w:cs="Arial"/>
                <w:sz w:val="24"/>
                <w:szCs w:val="24"/>
              </w:rPr>
              <w:t xml:space="preserve"> explicativas.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1.2 A cultura, a informática, a produção do plástico como “meios” organizacionais do espaço: o contexto brasileiro e internacional.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1.3 Macro setores da economia.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II - América Latina: tipos de economias e suas complexidades nos macro setores econômicas: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2.1 Países de Economia complexa: Brasil, Argentina e México;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2.2 Países de Economia intermediária: Chile, Colômbia, Peru, Venezuela;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2.3 Países de Economia pouco complexa: Costa Rica, Nicarágua, Bolívia, Paraguai, Uruguai e outros.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III Blocos de poder: Estados-Nações e as outras territorialidades: econômicas, políticas e culturais: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  Mundo Multipolar: </w:t>
            </w:r>
            <w:r w:rsidRPr="00DF2159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3.1Contexto do continente americano: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3.1.1 O Mercosul;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3.1.2 O projeto ALCA e NAFTA;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3.1.3 As alternativas dos TLC´S;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3.2 Contexto da Europa, Ásia e África: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3.2.1 União Europeia, a chamada Zona do Euro,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3.2.2 ALAC, APEC, ASEAN,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 3 Contexto dos Casos Intercontinentais: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3.3.1 Comunidade das Nações;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3.3.2  Comunidade dos Países de Língua Portuguesa,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3.3.3 Grupo dos 8, Grupos dos 20, e diferentes outras iniciativas no mundo.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IV - Os conflitos étnico-culturais no mundo contemporâneo: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4.1 Nacionalismos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4.2 Xenofobias contemporâneas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4.3 Religião e conflitos étnico-culturais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V - A esfera da vida e a questão ambiental.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5.1 A esfera das águas e os recursos hídricos.</w:t>
            </w:r>
          </w:p>
          <w:p w:rsidR="00DF2159" w:rsidRPr="00DF2159" w:rsidRDefault="00DF2159" w:rsidP="00DF2159">
            <w:pPr>
              <w:pStyle w:val="Corpodetexto"/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2A50" w:rsidRPr="00DF2159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</w:p>
        </w:tc>
      </w:tr>
    </w:tbl>
    <w:p w:rsidR="0008685D" w:rsidRDefault="0008685D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A776CF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-338455</wp:posOffset>
                </wp:positionV>
                <wp:extent cx="5883910" cy="5358765"/>
                <wp:effectExtent l="8255" t="8890" r="13335" b="139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535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4. PROCEDIMENTOS DIDÁTICOS:</w:t>
                            </w:r>
                          </w:p>
                          <w:p w:rsidR="005638BA" w:rsidRDefault="005638BA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eastAsia="Arial Bold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metodologia está embasada em três pilares: experiência discente, técnicas de estudo e técnicas motivacionais.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experiência discente é fundamental para o processo educativo, pois todo aluno possui o seu “banco de dados” sobre suas vivências cotidianas e históricas. Dessa forma, os conteúdos programáticos são trabalhados em parte de acordo com o vivido e, através da correlação entre o “senso comum” e os conhecimentos ditos “científicos”. A ciência geográfica é fecunda ao realizar estas correlações através de conceitos como “lugar” e “território”, contribuindo assim para um maior entendimento da sociedade, das suas mazelas e qualidades.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técnicas de estudo tem como objetivo principal a otimização do aprendizado. A partir da associação entre a Neurociência e a Educação, procuramos desenvolver um uso mais eficiente da memória através de algumas técnicas ,tais como: palácio das memórias, mapas mentais (Tony </w:t>
                            </w:r>
                            <w:proofErr w:type="spellStart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Buzan</w:t>
                            </w:r>
                            <w:proofErr w:type="spellEnd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), mnemônica, SQ3R. Estas técnicas são utilizadas como “ferramentas” em prol de um melhor aproveitamento dos estudos, pois buscam converter o uso corriqueiro da memória de curto prazo em eventos duradouros (memória de longo prazo). Cabe ressaltar, que as </w:t>
                            </w:r>
                            <w:proofErr w:type="spellStart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ténicas</w:t>
                            </w:r>
                            <w:proofErr w:type="spellEnd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não comprometem o “pensar” do aluno, ou ainda a construção de seu senso crítico, muito pelo contrário, elas potencializam as possibilidades de conexões e interações entre as diversas formas de conhecimento, aumentando a criatividade. Ao mesmo tempo, procuramos incentivar a organização do estudo através da confecção de quadros de horário, que tem como objetivo “direcionar” o aluno para a sua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principal meta que é o estudo e suas diversas aplicações.</w:t>
                            </w:r>
                          </w:p>
                          <w:p w:rsid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 também é o papel das técnicas motivacionais que servem para mostrar aos discentes o papel do estudo em nossa sociedade e, o quanto ele é importante para o crescimento de uma nação, para o desenvolvimento do senso crítico e da cidadania, além é claro, da geração de emprego e renda.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0D92" w:rsidRPr="00590D92" w:rsidRDefault="00590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0;margin-top:-26.65pt;width:463.3pt;height:421.9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">
                <v:textbox>
                  <w:txbxContent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590D9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  <w:t>4. PROCEDIMENTOS DIDÁTICOS:</w:t>
                      </w:r>
                    </w:p>
                    <w:p w:rsidR="005638BA" w:rsidRDefault="005638BA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eastAsia="Arial Bold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A metodologia está embasada em três pilares: experiência discente, técnicas de estudo e técnicas motivacionais.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A experiência discente é fundamental para o processo educativo, pois todo aluno possui o seu “banco de dados” sobre suas vivências cotidianas e históricas. Dessa forma, os conteúdos programáticos são trabalhados em parte de acordo com o vivido e, através da correlação entre o “senso comum” e os conhecimentos ditos “científicos”. A ciência geográfica é fecunda ao realizar estas correlações através de conceitos como “lugar” e “território”, contribuindo assim para um maior entendimento da sociedade, das suas mazelas e qualidades.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técnicas de estudo tem como objetivo principal a otimização do aprendizado. A partir da associação entre a Neurociência e a Educação, procuramos desenvolver um uso mais eficiente da memória através de algumas técnicas ,tais como: palácio das memórias, mapas mentais (Tony </w:t>
                      </w:r>
                      <w:proofErr w:type="spellStart"/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Buzan</w:t>
                      </w:r>
                      <w:proofErr w:type="spellEnd"/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), mnemônica, SQ3R. Estas técnicas são utilizadas como “ferramentas” em prol de um melhor aproveitamento dos estudos, pois buscam converter o uso corriqueiro da memória de curto prazo em eventos duradouros (memória de longo prazo). Cabe ressaltar, que as </w:t>
                      </w:r>
                      <w:proofErr w:type="spellStart"/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ténicas</w:t>
                      </w:r>
                      <w:proofErr w:type="spellEnd"/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não comprometem o “pensar” do aluno, ou ainda a construção de seu senso crítico, muito pelo contrário, elas potencializam as possibilidades de conexões e interações entre as diversas formas de conhecimento, aumentando a criatividade. Ao mesmo tempo, procuramos incentivar a organização do estudo através da confecção de quadros de horário, que tem como objetivo “direcionar” o aluno para a sua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principal meta que é o estudo e suas diversas aplicações.</w:t>
                      </w:r>
                    </w:p>
                    <w:p w:rsid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Esse também é o papel das técnicas motivacionais que servem para mostrar aos discentes o papel do estudo em nossa sociedade e, o quanto ele é importante para o crescimento de uma nação, para o desenvolvimento do senso crítico e da cidadania, além é claro, da geração de emprego e renda.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0D92" w:rsidRPr="00590D92" w:rsidRDefault="00590D9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5. ESTRATÉGIAS DE INTERDISCIPLINARIDADE:</w:t>
      </w:r>
    </w:p>
    <w:p w:rsidR="005256BA" w:rsidRDefault="005256BA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Para o filósofo Edgard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Morin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 a interdisciplinaridade é um termo polissêmico (o mesmo vale para a Multidisciplinaridade e a Transdisciplinaridade), já que pode ter vários sentidos, desde a afirmação de existência desta ou daquela disciplina até uma suposta colaboração entre elas (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Morin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>, 2003).</w: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No caso dos cursos técnicos ofertados pelo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IFSul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>, podemos pensar na segunda opção, quer dizer, pode e deve haver uma colaboração entre as diversas disciplinas que integram os cursos. A noção de complexidade proposta por este mesmo autor pode auxiliar-nos nesta tarefa. A complexidade vista como aquilo que é tecido junto, aquilo que é uno e múltiplo ao mesmo tempo, ou seja, dentro desta noção cada disciplina mantém a sua identidade (uno), porém ao contribuir, ao somar os seus conhecimentos a dada realidade científica, forma-se um conjunto (múltiplo), rico de informações sobre a sociedade e a natureza.</w: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Para atingir este objetivo pensamos no eixo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tranversal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 associado ao “mundo do trabalho”. A escolha deste tema parte do princípio que na condição futura de egressos, os discentes terão a oportunidade de vivenciar as atividades referentes ao mercado de trabalho. Dessa forma, temas como a origem de determinados </w:t>
      </w:r>
      <w:r w:rsidRPr="005129C0">
        <w:rPr>
          <w:rFonts w:ascii="Arial" w:hAnsi="Arial" w:cs="Arial"/>
          <w:b w:val="0"/>
          <w:sz w:val="24"/>
          <w:szCs w:val="24"/>
          <w:lang w:val="pt-BR"/>
        </w:rPr>
        <w:lastRenderedPageBreak/>
        <w:t>mercados, bem como as suas localizações são fundamentais para a boa atuação de nossos discentes nestes espaços.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967101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  <w:lang w:val="pt-BR"/>
        </w:rPr>
        <w:t>6</w:t>
      </w:r>
      <w:r w:rsidRPr="00E43C3D">
        <w:rPr>
          <w:rFonts w:ascii="Arial" w:hAnsi="Arial" w:cs="Arial"/>
          <w:b/>
          <w:sz w:val="24"/>
          <w:szCs w:val="24"/>
        </w:rPr>
        <w:t>.</w:t>
      </w:r>
      <w:r w:rsidRPr="00E43C3D">
        <w:rPr>
          <w:rFonts w:ascii="Arial" w:hAnsi="Arial" w:cs="Arial"/>
          <w:sz w:val="24"/>
          <w:szCs w:val="24"/>
        </w:rPr>
        <w:t xml:space="preserve"> </w:t>
      </w:r>
      <w:r w:rsidR="00590D92">
        <w:rPr>
          <w:rFonts w:ascii="Arial" w:hAnsi="Arial" w:cs="Arial"/>
          <w:sz w:val="24"/>
          <w:szCs w:val="24"/>
          <w:lang w:val="pt-BR"/>
        </w:rPr>
        <w:t>PROCEDIMENTOS E CRITÉRIOS DE AVALIAÇÃO</w:t>
      </w:r>
      <w:r w:rsidRPr="00E43C3D">
        <w:rPr>
          <w:rFonts w:ascii="Arial" w:hAnsi="Arial" w:cs="Arial"/>
          <w:b/>
          <w:sz w:val="24"/>
          <w:szCs w:val="24"/>
        </w:rPr>
        <w:t>:</w:t>
      </w:r>
      <w:r w:rsidRPr="00E43C3D">
        <w:rPr>
          <w:rFonts w:ascii="Arial" w:hAnsi="Arial" w:cs="Arial"/>
          <w:sz w:val="24"/>
          <w:szCs w:val="24"/>
        </w:rPr>
        <w:t xml:space="preserve"> </w:t>
      </w:r>
    </w:p>
    <w:p w:rsidR="005256BA" w:rsidRDefault="005256BA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34CFB" w:rsidRDefault="006E689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A avaliação enquanto processo levará em consideração as diversas habilidades e competências a serem desenvolvidas pelos discentes ao longo da jornada. O uso da escrita, de imagens e da oralidade serão analisadas a partir de provas objetivas e dissertativas, produção de resenhas e de trabalhos estarão embasados numa lógica de criação em que o inacabamento pode ser visto como algo positivo, logo tem-se como pressuposto uma ação construtiva do aluno. A retomada dos conteúdos visando as aprendizagens não alcançadas ocorrerá através de atividades complementares (leituras extras, pesquisas rápidas na internet, etc.)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Formas de avaliação</w:t>
      </w:r>
      <w:r>
        <w:rPr>
          <w:rFonts w:ascii="Arial" w:hAnsi="Arial" w:cs="Arial"/>
          <w:sz w:val="24"/>
          <w:szCs w:val="24"/>
          <w:lang w:val="pt-BR"/>
        </w:rPr>
        <w:t>:</w:t>
      </w:r>
      <w:r w:rsidRPr="00967101">
        <w:rPr>
          <w:rFonts w:ascii="Arial" w:hAnsi="Arial" w:cs="Arial"/>
          <w:sz w:val="24"/>
          <w:szCs w:val="24"/>
        </w:rPr>
        <w:t xml:space="preserve">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1º Semestre: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1: aplicação de prova com questões objetivas e dissertativas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pt-BR"/>
        </w:rPr>
        <w:t>4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2: aplicação de prova com questões objetivas e dissertativas </w:t>
      </w:r>
    </w:p>
    <w:p w:rsid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 w:rsidR="00F11A33">
        <w:rPr>
          <w:rFonts w:ascii="Arial" w:hAnsi="Arial" w:cs="Arial"/>
          <w:sz w:val="24"/>
          <w:szCs w:val="24"/>
          <w:lang w:val="pt-BR"/>
        </w:rPr>
        <w:t>4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Avaliação 3: </w:t>
      </w:r>
      <w:r w:rsidR="00F11A33">
        <w:rPr>
          <w:rFonts w:ascii="Arial" w:hAnsi="Arial" w:cs="Arial"/>
          <w:sz w:val="24"/>
          <w:szCs w:val="24"/>
          <w:lang w:val="pt-BR"/>
        </w:rPr>
        <w:t>trabalho sobre a indústria do petróleo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F11A33"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,0 ponto</w:t>
      </w:r>
      <w:r w:rsidR="00D437A9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na média semestral)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2º Semestre: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1: aplicação de prova com questões objetivas e dissertativas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 w:rsidR="00922D4C">
        <w:rPr>
          <w:rFonts w:ascii="Arial" w:hAnsi="Arial" w:cs="Arial"/>
          <w:sz w:val="24"/>
          <w:szCs w:val="24"/>
          <w:lang w:val="pt-BR"/>
        </w:rPr>
        <w:t>3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2: aplicação de prova com questões objetivas e dissertativas </w:t>
      </w:r>
    </w:p>
    <w:p w:rsid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pt-BR"/>
        </w:rPr>
        <w:t>4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Avaliação 3: </w:t>
      </w:r>
      <w:r w:rsidR="00922D4C">
        <w:rPr>
          <w:rFonts w:ascii="Arial" w:hAnsi="Arial" w:cs="Arial"/>
          <w:sz w:val="24"/>
          <w:szCs w:val="24"/>
          <w:lang w:val="pt-BR"/>
        </w:rPr>
        <w:t>trabalho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922D4C">
        <w:rPr>
          <w:rFonts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  <w:lang w:val="pt-BR"/>
        </w:rPr>
        <w:t>,0 ponto</w:t>
      </w:r>
      <w:r w:rsidR="00F11A33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na média semestral)</w:t>
      </w:r>
    </w:p>
    <w:p w:rsidR="00967101" w:rsidRPr="00967101" w:rsidRDefault="00967101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C34CFB" w:rsidRPr="00614B8B" w:rsidRDefault="00614B8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 </w:t>
      </w:r>
    </w:p>
    <w:p w:rsidR="00C34CFB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14EAE" w:rsidRDefault="00614B8B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</w:pPr>
      <w:r>
        <w:rPr>
          <w:rFonts w:ascii="Arial" w:hAnsi="Arial" w:cs="Arial"/>
          <w:sz w:val="24"/>
          <w:szCs w:val="24"/>
          <w:lang w:val="pt-BR"/>
        </w:rPr>
        <w:t>7</w:t>
      </w:r>
      <w:r w:rsidR="002E2A50" w:rsidRPr="00433787">
        <w:rPr>
          <w:rFonts w:ascii="Arial" w:hAnsi="Arial" w:cs="Arial"/>
          <w:sz w:val="24"/>
          <w:szCs w:val="24"/>
        </w:rPr>
        <w:t>.</w:t>
      </w:r>
      <w:r w:rsidR="00590D92">
        <w:rPr>
          <w:rFonts w:ascii="Arial" w:hAnsi="Arial" w:cs="Arial"/>
          <w:sz w:val="24"/>
          <w:szCs w:val="24"/>
          <w:lang w:val="pt-BR"/>
        </w:rPr>
        <w:t>Horário disponível para aten</w:t>
      </w:r>
      <w:r w:rsidR="005129C0">
        <w:rPr>
          <w:rFonts w:ascii="Arial" w:hAnsi="Arial" w:cs="Arial"/>
          <w:sz w:val="24"/>
          <w:szCs w:val="24"/>
          <w:lang w:val="pt-BR"/>
        </w:rPr>
        <w:t>dimento preferencial:</w:t>
      </w:r>
      <w:r w:rsidR="00C14EAE" w:rsidRPr="00C14EAE">
        <w:t xml:space="preserve"> </w:t>
      </w:r>
    </w:p>
    <w:p w:rsidR="002E2A50" w:rsidRPr="00C14EAE" w:rsidRDefault="00C14EAE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atendimento individual extraclasse será realizado na quarta-feira (dás 09:00 às 10:45 </w:t>
      </w:r>
      <w:proofErr w:type="spellStart"/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hrs</w:t>
      </w:r>
      <w:proofErr w:type="spellEnd"/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A0A1A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na sexta-feira (dás 09:00 às 10:45 </w:t>
      </w:r>
      <w:proofErr w:type="spellStart"/>
      <w:r w:rsidR="00DA0A1A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hrs</w:t>
      </w:r>
      <w:proofErr w:type="spellEnd"/>
      <w:r w:rsidR="00DA0A1A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 dependências da biblioteca do campus.</w:t>
      </w:r>
    </w:p>
    <w:p w:rsidR="00C14EAE" w:rsidRDefault="00C14EAE" w:rsidP="00C14EAE"/>
    <w:p w:rsidR="00C14EAE" w:rsidRDefault="00C14EAE" w:rsidP="00C14EAE"/>
    <w:p w:rsidR="00C14EAE" w:rsidRPr="00C14EAE" w:rsidRDefault="00C14EAE" w:rsidP="00C14EAE"/>
    <w:p w:rsidR="00590D92" w:rsidRDefault="00E43C3D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 xml:space="preserve">.Bibliografia </w:t>
      </w:r>
      <w:r w:rsidR="00590D92">
        <w:rPr>
          <w:rFonts w:ascii="Arial" w:hAnsi="Arial" w:cs="Arial"/>
          <w:b/>
          <w:bCs/>
          <w:sz w:val="24"/>
          <w:szCs w:val="24"/>
        </w:rPr>
        <w:t>básica</w:t>
      </w:r>
    </w:p>
    <w:p w:rsid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CASTELLS, M. A sociedade em rede. Tradução de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Roneide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Venâncio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Majer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. São Paulo: Paz e Terra, 1999.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COSTA, Wanderlei Messias da. A importância da Geografia Política. In: O Estado e as Políticas Territoriais no Brasil. São Paulo: Contexto, 1995. [p.17</w:t>
      </w:r>
      <w:r w:rsidRPr="00FB2B48">
        <w:rPr>
          <w:rFonts w:ascii="Cambria Math" w:hAnsi="Cambria Math" w:cs="Cambria Math"/>
          <w:bCs/>
          <w:sz w:val="24"/>
          <w:szCs w:val="24"/>
        </w:rPr>
        <w:t>‐</w:t>
      </w:r>
      <w:r w:rsidRPr="00FB2B48">
        <w:rPr>
          <w:rFonts w:ascii="Arial" w:hAnsi="Arial" w:cs="Arial"/>
          <w:bCs/>
          <w:sz w:val="24"/>
          <w:szCs w:val="24"/>
        </w:rPr>
        <w:t>25].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PESAVENTO, S. J. História do Rio Grande do Sul. Porto Alegre, Mercado Aberto, 1982. (Série Revisão)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2E2A50" w:rsidRDefault="00590D92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9.Bibliografia 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>complementar:</w:t>
      </w:r>
      <w:r w:rsidR="000666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ASSEMBLÉIA LEGISLATIVA DO RIO GRANDE DO SUL. Comissão dos Assuntos Municipais. Evolução municipal do RS 1809-1996, Porto Alegre, 2002. 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CANO, W. Reflexões sobre o Brasil e a nova (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des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) ordem internacional. Campinas, São Paulo: UNICAMP/FAPESP, 1993.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CASTELLS, M. A sociedade em rede. Tradução de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Roneide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Venâncio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Majer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. São Paulo: Paz e Terra, 1999.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________________. Fim de milênio. Tradução de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Klauss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Brandini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Gerhardt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Roneide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Venâncio.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Majer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. São Paulo: Paz e Terra, 1999.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CASTRO, Iná E.de. Capítulo 5 do livro Geografia e Política, RJ, Bertrand Brasil, 2005, pp.163212.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HOBSBAWM, Eric. Nações e nacionalismos desde 1780. Rio de Janeiro: Paz e Terra, 1991. [p.11</w:t>
      </w:r>
      <w:r w:rsidRPr="00FB2B48">
        <w:rPr>
          <w:rFonts w:ascii="Cambria Math" w:hAnsi="Cambria Math" w:cs="Cambria Math"/>
          <w:bCs/>
          <w:sz w:val="24"/>
          <w:szCs w:val="24"/>
        </w:rPr>
        <w:t>‐</w:t>
      </w:r>
      <w:r w:rsidRPr="00FB2B48">
        <w:rPr>
          <w:rFonts w:ascii="Arial" w:hAnsi="Arial" w:cs="Arial"/>
          <w:bCs/>
          <w:sz w:val="24"/>
          <w:szCs w:val="24"/>
        </w:rPr>
        <w:t>25].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RATZEL, Friedrich. O povo e seu território. In: MORAES,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Antonio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C. R. (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org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).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Ratzel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. São Paulo: Ática,1990. [p.73</w:t>
      </w:r>
      <w:r w:rsidRPr="00FB2B48">
        <w:rPr>
          <w:rFonts w:ascii="Cambria Math" w:hAnsi="Cambria Math" w:cs="Cambria Math"/>
          <w:bCs/>
          <w:sz w:val="24"/>
          <w:szCs w:val="24"/>
        </w:rPr>
        <w:t>‐</w:t>
      </w:r>
      <w:r w:rsidRPr="00FB2B48">
        <w:rPr>
          <w:rFonts w:ascii="Arial" w:hAnsi="Arial" w:cs="Arial"/>
          <w:bCs/>
          <w:sz w:val="24"/>
          <w:szCs w:val="24"/>
        </w:rPr>
        <w:t>82].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SANCHES, S. As condições sociais básicas das famílias chefiadas por mulheres. Disponível em: http://www.fee.tche.br. 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Default="00FB2B48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815FBF" w:rsidRDefault="00FB2B48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357F46" w:rsidRDefault="00357F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357F46" w:rsidRDefault="00357F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0F370D" w:rsidRDefault="000F370D" w:rsidP="000F370D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0F370D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5638BA" w:rsidRPr="00EC416E" w:rsidRDefault="000F370D" w:rsidP="000F370D">
      <w:pPr>
        <w:pStyle w:val="CorpoA"/>
        <w:ind w:left="0" w:firstLine="0"/>
        <w:rPr>
          <w:rFonts w:eastAsia="Arial Bold" w:hAnsi="Arial" w:cs="Arial"/>
          <w:b/>
          <w:lang w:val="pt-PT"/>
        </w:rPr>
      </w:pPr>
      <w:r>
        <w:rPr>
          <w:rFonts w:eastAsia="Arial Bold" w:hAnsi="Arial" w:cs="Arial"/>
          <w:b/>
        </w:rPr>
        <w:t xml:space="preserve">       </w:t>
      </w:r>
      <w:bookmarkStart w:id="0" w:name="_GoBack"/>
      <w:bookmarkEnd w:id="0"/>
      <w:r w:rsidR="005638BA" w:rsidRPr="00EC416E">
        <w:rPr>
          <w:rFonts w:hAnsi="Arial" w:cs="Arial"/>
          <w:b/>
          <w:lang w:val="pt-PT"/>
        </w:rPr>
        <w:t>1º Semestre</w:t>
      </w:r>
    </w:p>
    <w:p w:rsidR="005638BA" w:rsidRDefault="005638BA" w:rsidP="005638BA">
      <w:pPr>
        <w:pStyle w:val="CorpoA"/>
        <w:rPr>
          <w:lang w:val="pt-PT"/>
        </w:rPr>
      </w:pPr>
    </w:p>
    <w:tbl>
      <w:tblPr>
        <w:tblStyle w:val="TableNormal"/>
        <w:tblW w:w="8498" w:type="dxa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49"/>
        <w:gridCol w:w="4249"/>
      </w:tblGrid>
      <w:tr w:rsidR="005638BA" w:rsidRPr="00EC416E" w:rsidTr="00E70BE4">
        <w:trPr>
          <w:trHeight w:val="290"/>
          <w:tblHeader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EC416E" w:rsidRDefault="005638BA" w:rsidP="00E70BE4">
            <w:pPr>
              <w:rPr>
                <w:rFonts w:ascii="Helvetica" w:hAnsi="Helvetica" w:cs="Arial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EC416E" w:rsidRDefault="005638BA" w:rsidP="00E70BE4">
            <w:pPr>
              <w:rPr>
                <w:rFonts w:ascii="Helvetica" w:hAnsi="Helvetica" w:cs="Arial"/>
              </w:rPr>
            </w:pPr>
          </w:p>
        </w:tc>
      </w:tr>
      <w:tr w:rsidR="005638BA" w:rsidRPr="00822089" w:rsidTr="00E70BE4">
        <w:tblPrEx>
          <w:shd w:val="clear" w:color="auto" w:fill="auto"/>
        </w:tblPrEx>
        <w:trPr>
          <w:trHeight w:val="300"/>
        </w:trPr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da disciplina: conceitos geográficos basilares.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formação do Vale dos Sinos: aspectos físicos e humanos.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737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 formação do Vale dos Sinos</w:t>
            </w:r>
            <w:r>
              <w:rPr>
                <w:rFonts w:ascii="Arial" w:hAnsi="Arial" w:cs="Arial"/>
                <w:sz w:val="24"/>
                <w:szCs w:val="24"/>
              </w:rPr>
              <w:t>: aspectos físicos e humanos.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49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850892">
              <w:rPr>
                <w:rFonts w:ascii="Arial" w:hAnsi="Arial" w:cs="Arial"/>
                <w:sz w:val="24"/>
                <w:szCs w:val="24"/>
              </w:rPr>
              <w:t>Espa</w:t>
            </w:r>
            <w:r w:rsidRPr="00BA69BD">
              <w:rPr>
                <w:rFonts w:ascii="Arial" w:hAnsi="Arial" w:cs="Arial"/>
                <w:sz w:val="24"/>
                <w:szCs w:val="24"/>
              </w:rPr>
              <w:t xml:space="preserve">ço é 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poder: a cultura, a inform</w:t>
            </w:r>
            <w:r w:rsidRPr="00BA69BD">
              <w:rPr>
                <w:rFonts w:ascii="Arial" w:hAnsi="Arial" w:cs="Arial"/>
                <w:sz w:val="24"/>
                <w:szCs w:val="24"/>
              </w:rPr>
              <w:t xml:space="preserve">ática, a </w:t>
            </w:r>
            <w:proofErr w:type="spellStart"/>
            <w:r w:rsidRPr="00BA69BD">
              <w:rPr>
                <w:rFonts w:ascii="Arial" w:hAnsi="Arial" w:cs="Arial"/>
                <w:sz w:val="24"/>
                <w:szCs w:val="24"/>
              </w:rPr>
              <w:t>produ</w:t>
            </w:r>
            <w:proofErr w:type="spellEnd"/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ção do pl</w:t>
            </w:r>
            <w:r w:rsidRPr="00BA69BD">
              <w:rPr>
                <w:rFonts w:ascii="Arial" w:hAnsi="Arial" w:cs="Arial"/>
                <w:sz w:val="24"/>
                <w:szCs w:val="24"/>
              </w:rPr>
              <w:t>á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 xml:space="preserve">stico como </w:t>
            </w:r>
            <w:r w:rsidRPr="00BA69BD">
              <w:rPr>
                <w:rFonts w:ascii="Arial" w:hAnsi="Arial" w:cs="Arial"/>
                <w:sz w:val="24"/>
                <w:szCs w:val="24"/>
              </w:rPr>
              <w:t>“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meios” organizacionais do espa</w:t>
            </w:r>
            <w:proofErr w:type="spellStart"/>
            <w:r w:rsidRPr="00BA69BD">
              <w:rPr>
                <w:rFonts w:ascii="Arial" w:hAnsi="Arial" w:cs="Arial"/>
                <w:sz w:val="24"/>
                <w:szCs w:val="24"/>
              </w:rPr>
              <w:t>ço</w:t>
            </w:r>
            <w:proofErr w:type="spellEnd"/>
            <w:r w:rsidRPr="00BA69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357F46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1.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850892">
              <w:rPr>
                <w:rFonts w:ascii="Arial" w:hAnsi="Arial" w:cs="Arial"/>
                <w:sz w:val="24"/>
                <w:szCs w:val="24"/>
              </w:rPr>
              <w:t>Espa</w:t>
            </w:r>
            <w:r w:rsidRPr="00BA69BD">
              <w:rPr>
                <w:rFonts w:ascii="Arial" w:hAnsi="Arial" w:cs="Arial"/>
                <w:sz w:val="24"/>
                <w:szCs w:val="24"/>
              </w:rPr>
              <w:t xml:space="preserve">ço é 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poder: macro setores da economia (Primário: agropecuária, silvicultura e pesca).</w:t>
            </w:r>
          </w:p>
        </w:tc>
      </w:tr>
      <w:tr w:rsidR="005638BA" w:rsidRPr="00AA6762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357F46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Espaço Geográfico e setores econômicos.</w:t>
            </w:r>
          </w:p>
        </w:tc>
      </w:tr>
      <w:tr w:rsidR="005638BA" w:rsidRPr="00EC416E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Espaço é poder: macro setores da economia</w:t>
            </w:r>
          </w:p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(Primário, Secundário e Terciário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).</w:t>
            </w:r>
          </w:p>
        </w:tc>
      </w:tr>
      <w:tr w:rsidR="005638BA" w:rsidRPr="00EC416E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de economia complexa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357F46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2</w:t>
            </w:r>
            <w:r w:rsidR="005638BA" w:rsidRPr="003A3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de economia complexa.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de economia intermediária.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de economia intermediária.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8D5DD7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com economias “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arcáicas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A0252F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com economias “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arcáicas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com economias “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arcáicas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lastRenderedPageBreak/>
              <w:t>Aula 17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Blocos de poder: mundo multipolar e globalização.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A0252F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3.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Revisão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 recuperação semestral.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20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Recuperação Semestral (conteúdo do semestre)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638BA" w:rsidRPr="003A3E13" w:rsidRDefault="005638BA" w:rsidP="005638BA">
      <w:pPr>
        <w:pStyle w:val="CorpoA"/>
        <w:rPr>
          <w:rFonts w:hAnsi="Arial" w:cs="Arial"/>
          <w:lang w:val="pt-PT"/>
        </w:rPr>
      </w:pPr>
    </w:p>
    <w:p w:rsidR="005638BA" w:rsidRDefault="005638BA" w:rsidP="005638BA">
      <w:pPr>
        <w:pStyle w:val="CorpoA"/>
        <w:rPr>
          <w:lang w:val="pt-PT"/>
        </w:rPr>
      </w:pPr>
    </w:p>
    <w:p w:rsidR="005638BA" w:rsidRDefault="005638BA" w:rsidP="005638BA">
      <w:pPr>
        <w:pStyle w:val="CorpoA"/>
        <w:rPr>
          <w:lang w:val="pt-PT"/>
        </w:rPr>
      </w:pPr>
    </w:p>
    <w:p w:rsidR="005638BA" w:rsidRPr="003A3E13" w:rsidRDefault="00357F46" w:rsidP="005638BA">
      <w:pPr>
        <w:pStyle w:val="CorpoA"/>
        <w:ind w:left="0" w:firstLine="0"/>
        <w:rPr>
          <w:rFonts w:eastAsia="Arial Bold" w:hAnsi="Arial" w:cs="Arial"/>
          <w:b/>
        </w:rPr>
      </w:pPr>
      <w:r>
        <w:rPr>
          <w:rFonts w:hAnsi="Arial" w:cs="Arial"/>
          <w:b/>
          <w:lang w:val="pt-PT"/>
        </w:rPr>
        <w:t xml:space="preserve">       </w:t>
      </w:r>
      <w:r w:rsidR="005638BA" w:rsidRPr="003A3E13">
        <w:rPr>
          <w:rFonts w:hAnsi="Arial" w:cs="Arial"/>
          <w:b/>
          <w:lang w:val="pt-PT"/>
        </w:rPr>
        <w:t>2º Semestre</w:t>
      </w:r>
    </w:p>
    <w:p w:rsidR="005638BA" w:rsidRPr="003A3E13" w:rsidRDefault="005638BA" w:rsidP="005638BA">
      <w:pPr>
        <w:pStyle w:val="CorpoA"/>
        <w:rPr>
          <w:rFonts w:eastAsia="Arial Bold" w:hAnsi="Arial" w:cs="Arial"/>
        </w:rPr>
      </w:pPr>
    </w:p>
    <w:tbl>
      <w:tblPr>
        <w:tblStyle w:val="TableNormal"/>
        <w:tblW w:w="8498" w:type="dxa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49"/>
        <w:gridCol w:w="4249"/>
      </w:tblGrid>
      <w:tr w:rsidR="005638BA" w:rsidRPr="003A3E13" w:rsidTr="00E70BE4">
        <w:trPr>
          <w:trHeight w:val="290"/>
          <w:tblHeader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Conteúdo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300"/>
        </w:trPr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União Europ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éia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União Europ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éia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ALAC, APEC e ASEAN.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Comunidade dos Pa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í</w:t>
            </w:r>
            <w:r w:rsidRPr="00850892">
              <w:rPr>
                <w:rFonts w:ascii="Arial" w:hAnsi="Arial" w:cs="Arial"/>
                <w:sz w:val="24"/>
                <w:szCs w:val="24"/>
              </w:rPr>
              <w:t>ses</w:t>
            </w:r>
            <w:proofErr w:type="spellEnd"/>
            <w:r w:rsidRPr="0085089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50892">
              <w:rPr>
                <w:rFonts w:ascii="Arial" w:hAnsi="Arial" w:cs="Arial"/>
                <w:sz w:val="24"/>
                <w:szCs w:val="24"/>
              </w:rPr>
              <w:t>L</w:t>
            </w:r>
            <w:r w:rsidRPr="003A3E13">
              <w:rPr>
                <w:rFonts w:ascii="Arial" w:hAnsi="Arial" w:cs="Arial"/>
                <w:sz w:val="24"/>
                <w:szCs w:val="24"/>
              </w:rPr>
              <w:t>í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ngua Portuguesa.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Grupos dos 8 (G8), Grupo dos 20 (G20) e outras organizações supranacionais.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Grupos dos 8 (G8), Grupo dos 20 (G20) e outras organizações supranacionais.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Avaliação 1.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Os conflitos étnico-culturais no mundo contemporâneo-Nacionalismos.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Os conflitos étnico-culturais no mundo contemporâneo-Nacionalismos.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Os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tnicos-culturais no mundo contempor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âneo-Religi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ão e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tnico-culturais.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Os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tnicos-culturais no mundo contempor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âneo-Religi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ão e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tnico-culturais.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Os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tnico-culturais no mundo contempor</w:t>
            </w:r>
            <w:r w:rsidRPr="003A3E13">
              <w:rPr>
                <w:rFonts w:ascii="Arial" w:hAnsi="Arial" w:cs="Arial"/>
                <w:sz w:val="24"/>
                <w:szCs w:val="24"/>
              </w:rPr>
              <w:t>â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  <w:lang w:val="fr-FR"/>
              </w:rPr>
              <w:t>neo-Xenofobias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lastRenderedPageBreak/>
              <w:t>Aula 13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A esfera da vida e a questão ambiental.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A questão ambiental: conferências ambientais/problemas ambientais.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A questão ambiental: conferências ambientais/problemas ambientais.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Avaliação 2.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Revisão para a recuperação semestral.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Recuperação semestral (conteúdo do semestre).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Revisão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 para a recuperação final.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20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Recuperação final (conteúdo anual).</w:t>
            </w:r>
          </w:p>
        </w:tc>
      </w:tr>
    </w:tbl>
    <w:p w:rsidR="005638BA" w:rsidRPr="003A3E13" w:rsidRDefault="005638BA" w:rsidP="005638BA">
      <w:pPr>
        <w:pStyle w:val="CorpoA"/>
        <w:rPr>
          <w:rFonts w:hAnsi="Arial" w:cs="Arial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F9" w:rsidRDefault="00966DF9" w:rsidP="00E6564C">
      <w:r>
        <w:separator/>
      </w:r>
    </w:p>
  </w:endnote>
  <w:endnote w:type="continuationSeparator" w:id="0">
    <w:p w:rsidR="00966DF9" w:rsidRDefault="00966DF9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F9" w:rsidRDefault="00966DF9" w:rsidP="00E6564C">
      <w:r>
        <w:separator/>
      </w:r>
    </w:p>
  </w:footnote>
  <w:footnote w:type="continuationSeparator" w:id="0">
    <w:p w:rsidR="00966DF9" w:rsidRDefault="00966DF9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82CC9"/>
    <w:multiLevelType w:val="multilevel"/>
    <w:tmpl w:val="8A182CE8"/>
    <w:styleLink w:val="List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C"/>
    <w:rsid w:val="0000762B"/>
    <w:rsid w:val="000218DA"/>
    <w:rsid w:val="000666ED"/>
    <w:rsid w:val="0008685D"/>
    <w:rsid w:val="000B0B0E"/>
    <w:rsid w:val="000D2B1A"/>
    <w:rsid w:val="000D3FDD"/>
    <w:rsid w:val="000F323D"/>
    <w:rsid w:val="000F370D"/>
    <w:rsid w:val="000F78EB"/>
    <w:rsid w:val="00133858"/>
    <w:rsid w:val="00136092"/>
    <w:rsid w:val="00140462"/>
    <w:rsid w:val="001434E7"/>
    <w:rsid w:val="00155214"/>
    <w:rsid w:val="00160596"/>
    <w:rsid w:val="0016260E"/>
    <w:rsid w:val="001638A2"/>
    <w:rsid w:val="00166696"/>
    <w:rsid w:val="00172B8D"/>
    <w:rsid w:val="00183EFE"/>
    <w:rsid w:val="001B24B7"/>
    <w:rsid w:val="001D5C44"/>
    <w:rsid w:val="001F79C5"/>
    <w:rsid w:val="00203D7F"/>
    <w:rsid w:val="00205CE5"/>
    <w:rsid w:val="002250EB"/>
    <w:rsid w:val="00227D35"/>
    <w:rsid w:val="00231825"/>
    <w:rsid w:val="00236C43"/>
    <w:rsid w:val="00241F58"/>
    <w:rsid w:val="00254DD2"/>
    <w:rsid w:val="002568A8"/>
    <w:rsid w:val="00257F5E"/>
    <w:rsid w:val="002755B0"/>
    <w:rsid w:val="00284563"/>
    <w:rsid w:val="002A4D7D"/>
    <w:rsid w:val="002B1A8D"/>
    <w:rsid w:val="002E2A50"/>
    <w:rsid w:val="002F1703"/>
    <w:rsid w:val="002F7AB7"/>
    <w:rsid w:val="00320BA4"/>
    <w:rsid w:val="003346A1"/>
    <w:rsid w:val="00343C1C"/>
    <w:rsid w:val="00346741"/>
    <w:rsid w:val="00354ADE"/>
    <w:rsid w:val="00357F46"/>
    <w:rsid w:val="00362C23"/>
    <w:rsid w:val="003724EE"/>
    <w:rsid w:val="00380BDF"/>
    <w:rsid w:val="003B208B"/>
    <w:rsid w:val="00404492"/>
    <w:rsid w:val="004178BC"/>
    <w:rsid w:val="00433787"/>
    <w:rsid w:val="004345E5"/>
    <w:rsid w:val="00435825"/>
    <w:rsid w:val="00462745"/>
    <w:rsid w:val="004667B2"/>
    <w:rsid w:val="00474A40"/>
    <w:rsid w:val="004909BF"/>
    <w:rsid w:val="00494F22"/>
    <w:rsid w:val="004A34F4"/>
    <w:rsid w:val="004B37D7"/>
    <w:rsid w:val="004C73B7"/>
    <w:rsid w:val="004E4853"/>
    <w:rsid w:val="004F5EEF"/>
    <w:rsid w:val="004F76B7"/>
    <w:rsid w:val="00502D53"/>
    <w:rsid w:val="005129C0"/>
    <w:rsid w:val="00517CA0"/>
    <w:rsid w:val="005256BA"/>
    <w:rsid w:val="005316E2"/>
    <w:rsid w:val="00545F43"/>
    <w:rsid w:val="00546469"/>
    <w:rsid w:val="005514C4"/>
    <w:rsid w:val="005638BA"/>
    <w:rsid w:val="005765D7"/>
    <w:rsid w:val="00590D92"/>
    <w:rsid w:val="00593C24"/>
    <w:rsid w:val="005D580B"/>
    <w:rsid w:val="005E25BB"/>
    <w:rsid w:val="005E3EC5"/>
    <w:rsid w:val="005E4932"/>
    <w:rsid w:val="00602FB2"/>
    <w:rsid w:val="00604261"/>
    <w:rsid w:val="00614B8B"/>
    <w:rsid w:val="006204BB"/>
    <w:rsid w:val="006255DF"/>
    <w:rsid w:val="00635781"/>
    <w:rsid w:val="006370B1"/>
    <w:rsid w:val="00664DBE"/>
    <w:rsid w:val="00673E3D"/>
    <w:rsid w:val="00695523"/>
    <w:rsid w:val="006B24B7"/>
    <w:rsid w:val="006B6C88"/>
    <w:rsid w:val="006E689F"/>
    <w:rsid w:val="006F325A"/>
    <w:rsid w:val="007009C3"/>
    <w:rsid w:val="00710A01"/>
    <w:rsid w:val="00730C1B"/>
    <w:rsid w:val="0073397E"/>
    <w:rsid w:val="00735F7A"/>
    <w:rsid w:val="00742142"/>
    <w:rsid w:val="00742C45"/>
    <w:rsid w:val="00753560"/>
    <w:rsid w:val="0075668E"/>
    <w:rsid w:val="00761DC9"/>
    <w:rsid w:val="00775F5D"/>
    <w:rsid w:val="0077668D"/>
    <w:rsid w:val="007774F7"/>
    <w:rsid w:val="007D286D"/>
    <w:rsid w:val="007D2F14"/>
    <w:rsid w:val="00802E48"/>
    <w:rsid w:val="00815FBF"/>
    <w:rsid w:val="008459AF"/>
    <w:rsid w:val="00846639"/>
    <w:rsid w:val="0086089C"/>
    <w:rsid w:val="0087692F"/>
    <w:rsid w:val="008D5DD7"/>
    <w:rsid w:val="008F52A0"/>
    <w:rsid w:val="0091482B"/>
    <w:rsid w:val="00914D51"/>
    <w:rsid w:val="00916093"/>
    <w:rsid w:val="0091730E"/>
    <w:rsid w:val="00922D4C"/>
    <w:rsid w:val="009457DB"/>
    <w:rsid w:val="0095441E"/>
    <w:rsid w:val="00966DF9"/>
    <w:rsid w:val="00967101"/>
    <w:rsid w:val="0099293F"/>
    <w:rsid w:val="009A1790"/>
    <w:rsid w:val="009C3EC1"/>
    <w:rsid w:val="009D6CAE"/>
    <w:rsid w:val="009E5DBC"/>
    <w:rsid w:val="00A0252F"/>
    <w:rsid w:val="00A1194E"/>
    <w:rsid w:val="00A22346"/>
    <w:rsid w:val="00A374CA"/>
    <w:rsid w:val="00A72E85"/>
    <w:rsid w:val="00A776CF"/>
    <w:rsid w:val="00A804DA"/>
    <w:rsid w:val="00A8773B"/>
    <w:rsid w:val="00AD57E5"/>
    <w:rsid w:val="00AE046E"/>
    <w:rsid w:val="00AE1885"/>
    <w:rsid w:val="00AF4B6E"/>
    <w:rsid w:val="00B00A5A"/>
    <w:rsid w:val="00B71019"/>
    <w:rsid w:val="00B75440"/>
    <w:rsid w:val="00B8702E"/>
    <w:rsid w:val="00B87871"/>
    <w:rsid w:val="00B92E0C"/>
    <w:rsid w:val="00B95EA8"/>
    <w:rsid w:val="00BB1F0F"/>
    <w:rsid w:val="00BB2628"/>
    <w:rsid w:val="00BB53FB"/>
    <w:rsid w:val="00BB548B"/>
    <w:rsid w:val="00BC026D"/>
    <w:rsid w:val="00BD52D0"/>
    <w:rsid w:val="00BF43B4"/>
    <w:rsid w:val="00C048B9"/>
    <w:rsid w:val="00C14EAE"/>
    <w:rsid w:val="00C2036B"/>
    <w:rsid w:val="00C311BC"/>
    <w:rsid w:val="00C34CFB"/>
    <w:rsid w:val="00C413ED"/>
    <w:rsid w:val="00C518C7"/>
    <w:rsid w:val="00C53EF2"/>
    <w:rsid w:val="00C77850"/>
    <w:rsid w:val="00C913F1"/>
    <w:rsid w:val="00C94D89"/>
    <w:rsid w:val="00CB0042"/>
    <w:rsid w:val="00CD4D19"/>
    <w:rsid w:val="00CF29E5"/>
    <w:rsid w:val="00D05D8D"/>
    <w:rsid w:val="00D36A65"/>
    <w:rsid w:val="00D437A9"/>
    <w:rsid w:val="00D56B02"/>
    <w:rsid w:val="00D6062F"/>
    <w:rsid w:val="00D61830"/>
    <w:rsid w:val="00D726DA"/>
    <w:rsid w:val="00D94E03"/>
    <w:rsid w:val="00DA0A1A"/>
    <w:rsid w:val="00DB0A45"/>
    <w:rsid w:val="00DB5A32"/>
    <w:rsid w:val="00DC49C9"/>
    <w:rsid w:val="00DD46E8"/>
    <w:rsid w:val="00DE6F89"/>
    <w:rsid w:val="00DF2159"/>
    <w:rsid w:val="00DF301B"/>
    <w:rsid w:val="00E0151C"/>
    <w:rsid w:val="00E358A0"/>
    <w:rsid w:val="00E43C3D"/>
    <w:rsid w:val="00E6564C"/>
    <w:rsid w:val="00ED1582"/>
    <w:rsid w:val="00ED19C2"/>
    <w:rsid w:val="00ED34DC"/>
    <w:rsid w:val="00EE055B"/>
    <w:rsid w:val="00EF5BA2"/>
    <w:rsid w:val="00F03ACE"/>
    <w:rsid w:val="00F11A33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B2B48"/>
    <w:rsid w:val="00FD3FF4"/>
    <w:rsid w:val="00FD4BAB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C4697"/>
  <w15:chartTrackingRefBased/>
  <w15:docId w15:val="{5CEBD885-33AA-4951-B406-CF3F7FE3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numbering" w:customStyle="1" w:styleId="List0">
    <w:name w:val="List 0"/>
    <w:basedOn w:val="Semlista"/>
    <w:rsid w:val="00546469"/>
    <w:pPr>
      <w:numPr>
        <w:numId w:val="4"/>
      </w:numPr>
    </w:pPr>
  </w:style>
  <w:style w:type="table" w:customStyle="1" w:styleId="TableNormal">
    <w:name w:val="Table Normal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5638BA"/>
    <w:pPr>
      <w:pBdr>
        <w:top w:val="nil"/>
        <w:left w:val="nil"/>
        <w:bottom w:val="nil"/>
        <w:right w:val="nil"/>
        <w:between w:val="nil"/>
        <w:bar w:val="nil"/>
      </w:pBdr>
      <w:ind w:left="357" w:hanging="357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stilodeTabela1">
    <w:name w:val="Estilo de Tabela 1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EstilodeTabela2">
    <w:name w:val="Estilo de Tabela 2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CE88-AF2B-4DD6-90FB-76807AC9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1531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9782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subject/>
  <dc:creator>MILTON</dc:creator>
  <cp:keywords/>
  <cp:lastModifiedBy>Fernando Mousquer</cp:lastModifiedBy>
  <cp:revision>12</cp:revision>
  <cp:lastPrinted>2013-05-18T00:04:00Z</cp:lastPrinted>
  <dcterms:created xsi:type="dcterms:W3CDTF">2019-02-20T16:05:00Z</dcterms:created>
  <dcterms:modified xsi:type="dcterms:W3CDTF">2019-02-27T12:38:00Z</dcterms:modified>
</cp:coreProperties>
</file>